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20246">
      <w:pPr>
        <w:spacing w:line="580" w:lineRule="exact"/>
        <w:jc w:val="center"/>
        <w:rPr>
          <w:rFonts w:eastAsia="方正小标宋简体"/>
          <w:b/>
          <w:bCs/>
          <w:sz w:val="32"/>
          <w:szCs w:val="32"/>
        </w:rPr>
      </w:pPr>
      <w:r>
        <w:rPr>
          <w:rFonts w:eastAsia="方正小标宋简体"/>
          <w:b/>
          <w:bCs/>
          <w:sz w:val="32"/>
          <w:szCs w:val="32"/>
        </w:rPr>
        <w:t>浙江省</w:t>
      </w:r>
      <w:r>
        <w:rPr>
          <w:rFonts w:hint="eastAsia" w:eastAsia="方正小标宋简体"/>
          <w:b/>
          <w:bCs/>
          <w:sz w:val="32"/>
          <w:szCs w:val="32"/>
        </w:rPr>
        <w:t>淡水水产研究所科</w:t>
      </w:r>
      <w:r>
        <w:rPr>
          <w:rFonts w:eastAsia="方正小标宋简体"/>
          <w:b/>
          <w:bCs/>
          <w:sz w:val="32"/>
          <w:szCs w:val="32"/>
        </w:rPr>
        <w:t>研经费使用信息公开一览表</w:t>
      </w:r>
    </w:p>
    <w:p w14:paraId="585DFA0A">
      <w:pPr>
        <w:spacing w:line="520" w:lineRule="exact"/>
        <w:jc w:val="center"/>
        <w:rPr>
          <w:rFonts w:hint="eastAsia" w:eastAsia="方正小标宋简体"/>
          <w:b/>
          <w:bCs/>
          <w:sz w:val="44"/>
          <w:szCs w:val="44"/>
        </w:rPr>
      </w:pPr>
      <w:r>
        <w:rPr>
          <w:rFonts w:hint="eastAsia" w:eastAsia="方正小标宋简体"/>
          <w:sz w:val="22"/>
          <w:szCs w:val="22"/>
        </w:rPr>
        <w:t>单位：万元</w:t>
      </w:r>
    </w:p>
    <w:p w14:paraId="284E3DD5">
      <w:pPr>
        <w:spacing w:line="520" w:lineRule="exact"/>
        <w:rPr>
          <w:bCs/>
          <w:sz w:val="24"/>
        </w:rPr>
      </w:pPr>
      <w:r>
        <w:rPr>
          <w:bCs/>
          <w:sz w:val="24"/>
        </w:rPr>
        <w:t xml:space="preserve">填表人：    </w:t>
      </w:r>
      <w:r>
        <w:rPr>
          <w:rFonts w:hint="eastAsia"/>
          <w:bCs/>
          <w:sz w:val="24"/>
        </w:rPr>
        <w:t xml:space="preserve">   黄  雷     </w:t>
      </w:r>
      <w:r>
        <w:rPr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10160" t="12065" r="8890" b="6985"/>
                <wp:wrapNone/>
                <wp:docPr id="1438997939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KVYwa1QAAAAkBAAAPAAAAAAAAAAEAIAAAACIAAABkcnMvZG93bnJldi54bWxQSwECFAAUAAAA&#10;CACHTuJAPsSWgvEBAAC+AwAADgAAAAAAAAABACAAAAAk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Cs/>
          <w:sz w:val="24"/>
        </w:rPr>
        <w:t xml:space="preserve">            </w:t>
      </w:r>
      <w:r>
        <w:rPr>
          <w:bCs/>
          <w:sz w:val="24"/>
        </w:rPr>
        <w:t xml:space="preserve">        填表日期：</w:t>
      </w:r>
      <w:r>
        <w:rPr>
          <w:rFonts w:hint="eastAsia"/>
          <w:bCs/>
          <w:sz w:val="24"/>
        </w:rPr>
        <w:t>202</w:t>
      </w:r>
      <w:r>
        <w:rPr>
          <w:rFonts w:hint="eastAsia"/>
          <w:bCs/>
          <w:sz w:val="24"/>
          <w:lang w:val="en-US" w:eastAsia="zh-CN"/>
        </w:rPr>
        <w:t>6</w:t>
      </w:r>
      <w:r>
        <w:rPr>
          <w:rFonts w:hint="eastAsia"/>
          <w:bCs/>
          <w:sz w:val="24"/>
        </w:rPr>
        <w:t>年</w:t>
      </w:r>
      <w:r>
        <w:rPr>
          <w:rFonts w:hint="eastAsia"/>
          <w:bCs/>
          <w:sz w:val="24"/>
          <w:lang w:val="en-US" w:eastAsia="zh-CN"/>
        </w:rPr>
        <w:t>4</w:t>
      </w:r>
      <w:r>
        <w:rPr>
          <w:rFonts w:hint="eastAsia"/>
          <w:bCs/>
          <w:sz w:val="24"/>
        </w:rPr>
        <w:t>月</w:t>
      </w:r>
      <w:r>
        <w:rPr>
          <w:rFonts w:hint="eastAsia"/>
          <w:bCs/>
          <w:sz w:val="24"/>
          <w:lang w:val="en-US" w:eastAsia="zh-CN"/>
        </w:rPr>
        <w:t>23</w:t>
      </w:r>
      <w:r>
        <w:rPr>
          <w:rFonts w:hint="eastAsia"/>
          <w:bCs/>
          <w:sz w:val="24"/>
        </w:rPr>
        <w:t>日</w:t>
      </w:r>
    </w:p>
    <w:tbl>
      <w:tblPr>
        <w:tblStyle w:val="14"/>
        <w:tblW w:w="10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1595"/>
        <w:gridCol w:w="1089"/>
        <w:gridCol w:w="1136"/>
        <w:gridCol w:w="263"/>
        <w:gridCol w:w="1465"/>
        <w:gridCol w:w="72"/>
        <w:gridCol w:w="1231"/>
        <w:gridCol w:w="1170"/>
        <w:gridCol w:w="1476"/>
      </w:tblGrid>
      <w:tr w14:paraId="50DB2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6D2F1">
            <w:pPr>
              <w:spacing w:line="240" w:lineRule="exact"/>
              <w:jc w:val="center"/>
              <w:rPr>
                <w:szCs w:val="21"/>
              </w:rPr>
            </w:pPr>
          </w:p>
          <w:p w14:paraId="06F75B1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</w:t>
            </w:r>
          </w:p>
          <w:p w14:paraId="5A6E5E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  <w:p w14:paraId="573198E3">
            <w:pPr>
              <w:spacing w:line="240" w:lineRule="exact"/>
              <w:jc w:val="center"/>
              <w:rPr>
                <w:szCs w:val="21"/>
              </w:rPr>
            </w:pPr>
          </w:p>
          <w:p w14:paraId="24C3181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07CE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项目名称</w:t>
            </w:r>
          </w:p>
        </w:tc>
        <w:tc>
          <w:tcPr>
            <w:tcW w:w="79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4937E">
            <w:pPr>
              <w:widowControl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大口黑鲈诺卡氏菌病的绿色防控关键技术研究及示范</w:t>
            </w:r>
          </w:p>
        </w:tc>
      </w:tr>
      <w:tr w14:paraId="46EC2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9F7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992D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立项部门</w:t>
            </w:r>
          </w:p>
        </w:tc>
        <w:tc>
          <w:tcPr>
            <w:tcW w:w="79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3E9C7">
            <w:pPr>
              <w:tabs>
                <w:tab w:val="left" w:pos="5940"/>
              </w:tabs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浙江省农业农村厅</w:t>
            </w:r>
          </w:p>
        </w:tc>
      </w:tr>
      <w:tr w14:paraId="726F3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F35B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DBD9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实施期限</w:t>
            </w:r>
          </w:p>
        </w:tc>
        <w:tc>
          <w:tcPr>
            <w:tcW w:w="79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F6EED"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2024.1-2025.12</w:t>
            </w:r>
          </w:p>
        </w:tc>
      </w:tr>
      <w:tr w14:paraId="06378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747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C89B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协作单位</w:t>
            </w:r>
          </w:p>
        </w:tc>
        <w:tc>
          <w:tcPr>
            <w:tcW w:w="79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C97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浙江理工大学、宁波三生生物科技股份有限公司、湖州吴氏生态农业股份有限公司</w:t>
            </w:r>
          </w:p>
        </w:tc>
      </w:tr>
      <w:tr w14:paraId="4D9C1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60FE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D0F2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项目负责人及课题组成员</w:t>
            </w: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BE74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姓名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5200E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职称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AF6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工作单位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4AEA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承担任务</w:t>
            </w:r>
          </w:p>
        </w:tc>
      </w:tr>
      <w:tr w14:paraId="27352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E4F4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44D6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A56F0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黄雷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60BF4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助理研究员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57685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08E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统筹工作</w:t>
            </w:r>
          </w:p>
        </w:tc>
      </w:tr>
      <w:tr w14:paraId="7B71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FE64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24B5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106999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冯华朋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AFE022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36521D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浙江理工大学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F91399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构建基因缺失减毒疫苗候选株</w:t>
            </w:r>
          </w:p>
        </w:tc>
      </w:tr>
      <w:tr w14:paraId="56D70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9CE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E486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ECA556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姚嘉赟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8F88C4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67EADB4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DABED1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致病机制研究</w:t>
            </w:r>
          </w:p>
        </w:tc>
      </w:tr>
      <w:tr w14:paraId="1C647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8EB1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F630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D74B61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高原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738C6D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BDEF051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宁波三生生物科技股份有限公司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B6082E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中试疫苗制备</w:t>
            </w:r>
          </w:p>
        </w:tc>
      </w:tr>
      <w:tr w14:paraId="0A9F4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E8B6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640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37A7DD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吴荣峰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22F6AB3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工程师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1D55AF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湖州吴氏生态农业股份有限公司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06CD7CB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示范推广</w:t>
            </w:r>
          </w:p>
        </w:tc>
      </w:tr>
      <w:tr w14:paraId="35050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6B3D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F243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DDD2048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袁雪梅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2C3CE0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副研究员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7284B99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FE8E77A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抗菌药物筛选</w:t>
            </w:r>
          </w:p>
        </w:tc>
      </w:tr>
      <w:tr w14:paraId="554E9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837ED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A557F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2C8D7A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陈静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3C46C7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助理研究员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7428BF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4BE2F5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抗菌活性成分分析</w:t>
            </w:r>
          </w:p>
        </w:tc>
      </w:tr>
      <w:tr w14:paraId="12FCA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039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DFFD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84BC3F9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沈锦玉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DAA1980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1A108A8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D607F9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制定绿色防控技术规程</w:t>
            </w:r>
          </w:p>
        </w:tc>
      </w:tr>
      <w:tr w14:paraId="250A5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D4E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A311E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F1E05F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潘晓艺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398230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研究员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54457EE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EE4643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疫苗制备</w:t>
            </w:r>
          </w:p>
        </w:tc>
      </w:tr>
      <w:tr w14:paraId="63BCD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63F05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08536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C759FA5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施正庭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7A3A02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71039FD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浙江省淡水水产研究所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48D81E4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疫苗制备</w:t>
            </w:r>
          </w:p>
        </w:tc>
      </w:tr>
      <w:tr w14:paraId="1FEE1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C924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4D01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40FC678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舒建洪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C3DA157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36365D8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浙江理工大学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746BDD9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疫苗安全性评价</w:t>
            </w:r>
          </w:p>
        </w:tc>
      </w:tr>
      <w:tr w14:paraId="317C8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A265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CCC8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0F9F2E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何玉龙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85A6168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副教授</w:t>
            </w:r>
          </w:p>
        </w:tc>
        <w:tc>
          <w:tcPr>
            <w:tcW w:w="27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E57A760">
            <w:pPr>
              <w:spacing w:line="240" w:lineRule="exact"/>
              <w:ind w:left="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浙江理工大学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3BCEA7C">
            <w:pPr>
              <w:spacing w:line="240" w:lineRule="exact"/>
              <w:ind w:left="42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疫苗有效性评价</w:t>
            </w:r>
          </w:p>
        </w:tc>
      </w:tr>
      <w:tr w14:paraId="7C7E4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EE49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4318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经费总额</w:t>
            </w: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DA6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50.0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ED92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其中</w:t>
            </w:r>
          </w:p>
          <w:p w14:paraId="7C3DF63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拨款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AE9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50.0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BDD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其他经费</w:t>
            </w:r>
          </w:p>
          <w:p w14:paraId="51E71B5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来源及金额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18093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</w:tr>
      <w:tr w14:paraId="1F069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8BB99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1A5A4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经费预算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C3BE1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设备费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1DC29">
            <w:pPr>
              <w:spacing w:line="2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7FE4B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材料费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33E38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24.0</w:t>
            </w:r>
          </w:p>
        </w:tc>
      </w:tr>
      <w:tr w14:paraId="26A70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97631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8297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C8BA2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测试化验加工费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59CEB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12.0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1BFC1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燃料动力费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64DE4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</w:t>
            </w:r>
          </w:p>
        </w:tc>
      </w:tr>
      <w:tr w14:paraId="3B93C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CC48C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D1C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4AAE4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差旅费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CC7A4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4.0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3BE1D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会</w:t>
            </w:r>
            <w:r>
              <w:rPr>
                <w:rFonts w:hint="eastAsia" w:hAnsi="宋体"/>
                <w:color w:val="auto"/>
                <w:szCs w:val="21"/>
              </w:rPr>
              <w:t>议</w:t>
            </w:r>
            <w:r>
              <w:rPr>
                <w:rFonts w:hAnsi="宋体"/>
                <w:color w:val="auto"/>
                <w:szCs w:val="21"/>
              </w:rPr>
              <w:t>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128B6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</w:t>
            </w:r>
          </w:p>
        </w:tc>
      </w:tr>
      <w:tr w14:paraId="294DE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C3D1A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0DB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220F4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合作协作研究与交流费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70670">
            <w:pPr>
              <w:spacing w:line="2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EB4CE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劳务费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B0C90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9.2</w:t>
            </w:r>
          </w:p>
        </w:tc>
      </w:tr>
      <w:tr w14:paraId="5039C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9DB37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B976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B729A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出版</w:t>
            </w:r>
            <w:r>
              <w:rPr>
                <w:color w:val="auto"/>
                <w:szCs w:val="21"/>
              </w:rPr>
              <w:t>/</w:t>
            </w:r>
            <w:r>
              <w:rPr>
                <w:rFonts w:hAnsi="宋体"/>
                <w:color w:val="auto"/>
                <w:szCs w:val="21"/>
              </w:rPr>
              <w:t>文献</w:t>
            </w:r>
            <w:r>
              <w:rPr>
                <w:color w:val="auto"/>
                <w:szCs w:val="21"/>
              </w:rPr>
              <w:t>/</w:t>
            </w:r>
            <w:r>
              <w:rPr>
                <w:rFonts w:hAnsi="宋体"/>
                <w:color w:val="auto"/>
                <w:szCs w:val="21"/>
              </w:rPr>
              <w:t>信息传播</w:t>
            </w:r>
            <w:r>
              <w:rPr>
                <w:color w:val="auto"/>
                <w:szCs w:val="21"/>
              </w:rPr>
              <w:t>/</w:t>
            </w:r>
            <w:r>
              <w:rPr>
                <w:rFonts w:hAnsi="宋体"/>
                <w:color w:val="auto"/>
                <w:szCs w:val="21"/>
              </w:rPr>
              <w:t>知识产权事务费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85C47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903EE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专家咨询费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8B021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</w:t>
            </w:r>
          </w:p>
        </w:tc>
      </w:tr>
      <w:tr w14:paraId="2183F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852EF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284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0F425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管理费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2EF47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26DB5">
            <w:pPr>
              <w:spacing w:line="240" w:lineRule="exact"/>
              <w:ind w:right="210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其他费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77659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0.8</w:t>
            </w:r>
          </w:p>
        </w:tc>
      </w:tr>
      <w:tr w14:paraId="7AEC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26ED7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hAnsi="宋体"/>
                <w:szCs w:val="21"/>
              </w:rPr>
              <w:t>过程</w:t>
            </w:r>
          </w:p>
          <w:p w14:paraId="166FBC2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0FA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经费到位情况</w:t>
            </w:r>
          </w:p>
        </w:tc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DC3F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已拨入</w:t>
            </w:r>
          </w:p>
        </w:tc>
        <w:tc>
          <w:tcPr>
            <w:tcW w:w="13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4DEDD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50.0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673DD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未拨入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7CC3D">
            <w:pPr>
              <w:spacing w:line="2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309D0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 w:hAnsi="宋体"/>
                <w:color w:val="auto"/>
                <w:szCs w:val="21"/>
              </w:rPr>
              <w:t>已</w:t>
            </w:r>
            <w:r>
              <w:rPr>
                <w:rFonts w:hAnsi="宋体"/>
                <w:color w:val="auto"/>
                <w:szCs w:val="21"/>
              </w:rPr>
              <w:t>使用经费总额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C5F9B">
            <w:pPr>
              <w:spacing w:line="240" w:lineRule="exact"/>
              <w:ind w:firstLine="315" w:firstLineChars="150"/>
              <w:jc w:val="center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48.5</w:t>
            </w:r>
          </w:p>
        </w:tc>
      </w:tr>
      <w:tr w14:paraId="7DE95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8ED18B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9A4E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预算支出情况</w:t>
            </w: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8F35C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设备费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CF367">
            <w:pPr>
              <w:spacing w:line="2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28E3D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材料费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76924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27.70</w:t>
            </w:r>
          </w:p>
        </w:tc>
      </w:tr>
      <w:tr w14:paraId="64F47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072769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FEBB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1CB94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测试化验加工费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BC448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10.32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5DDFD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燃料动力费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218F6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</w:t>
            </w:r>
          </w:p>
        </w:tc>
      </w:tr>
      <w:tr w14:paraId="622D1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9FBBCE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F48C6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B1899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差旅费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5C82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2.43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8A02D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会议费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5939F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</w:t>
            </w:r>
          </w:p>
        </w:tc>
      </w:tr>
      <w:tr w14:paraId="5B9DB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53CB61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E3DC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5BB2A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合作协作研究与交流费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9FDFF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1DAE8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劳务费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7C3C2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6.35</w:t>
            </w:r>
          </w:p>
        </w:tc>
      </w:tr>
      <w:tr w14:paraId="0D2C1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4C9841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9D2C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6E11F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出版</w:t>
            </w:r>
            <w:r>
              <w:rPr>
                <w:color w:val="auto"/>
                <w:szCs w:val="21"/>
              </w:rPr>
              <w:t>/</w:t>
            </w:r>
            <w:r>
              <w:rPr>
                <w:rFonts w:hAnsi="宋体"/>
                <w:color w:val="auto"/>
                <w:szCs w:val="21"/>
              </w:rPr>
              <w:t>文献</w:t>
            </w:r>
            <w:r>
              <w:rPr>
                <w:color w:val="auto"/>
                <w:szCs w:val="21"/>
              </w:rPr>
              <w:t>/</w:t>
            </w:r>
            <w:r>
              <w:rPr>
                <w:rFonts w:hAnsi="宋体"/>
                <w:color w:val="auto"/>
                <w:szCs w:val="21"/>
              </w:rPr>
              <w:t>信息传播</w:t>
            </w:r>
            <w:r>
              <w:rPr>
                <w:color w:val="auto"/>
                <w:szCs w:val="21"/>
              </w:rPr>
              <w:t>/</w:t>
            </w:r>
            <w:r>
              <w:rPr>
                <w:rFonts w:hAnsi="宋体"/>
                <w:color w:val="auto"/>
                <w:szCs w:val="21"/>
              </w:rPr>
              <w:t>知识产权事务费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74625">
            <w:pPr>
              <w:spacing w:line="2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1.40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AB1DD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专家咨询费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63C82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</w:t>
            </w:r>
          </w:p>
        </w:tc>
      </w:tr>
      <w:tr w14:paraId="15B4D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67E192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58DE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1DE76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Ansi="宋体"/>
                <w:color w:val="auto"/>
                <w:szCs w:val="21"/>
              </w:rPr>
              <w:t>管理费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04543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DE07F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其他费</w:t>
            </w:r>
          </w:p>
        </w:tc>
        <w:tc>
          <w:tcPr>
            <w:tcW w:w="26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A5B15">
            <w:pPr>
              <w:spacing w:line="240" w:lineRule="exact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0.30</w:t>
            </w:r>
          </w:p>
        </w:tc>
      </w:tr>
      <w:tr w14:paraId="77ADDD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283D46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39D30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Ansi="宋体"/>
                <w:szCs w:val="21"/>
              </w:rPr>
              <w:t>大额设备和材料名称和价格</w:t>
            </w:r>
          </w:p>
        </w:tc>
        <w:tc>
          <w:tcPr>
            <w:tcW w:w="79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236D1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/>
                <w:color w:val="auto"/>
                <w:sz w:val="20"/>
              </w:rPr>
            </w:pPr>
            <w:r>
              <w:rPr>
                <w:rFonts w:hint="eastAsia"/>
                <w:color w:val="auto"/>
                <w:sz w:val="20"/>
              </w:rPr>
              <w:t>无</w:t>
            </w:r>
          </w:p>
        </w:tc>
      </w:tr>
      <w:tr w14:paraId="08D22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5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49337">
            <w:pPr>
              <w:widowControl/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0869C">
            <w:pPr>
              <w:spacing w:line="240" w:lineRule="exact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szCs w:val="21"/>
              </w:rPr>
              <w:t>阶段性成果</w:t>
            </w:r>
          </w:p>
        </w:tc>
        <w:tc>
          <w:tcPr>
            <w:tcW w:w="79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90282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获得安全有效的鰤鱼诺卡氏菌减毒疫苗候选株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1个；研制大口黑鲈诺卡氏菌病的高效植物源药物3种、复合中草药制剂及复合肽类抗生素2个；建立大口黑鲈生态养殖示范基地3个，示范面积100亩；申请国家发明专利2项；发表论文6篇（其中SCI论文4篇）</w:t>
            </w:r>
            <w:r>
              <w:rPr>
                <w:rFonts w:hint="eastAsia"/>
                <w:color w:val="auto"/>
                <w:szCs w:val="21"/>
              </w:rPr>
              <w:t>。</w:t>
            </w:r>
          </w:p>
        </w:tc>
      </w:tr>
      <w:tr w14:paraId="2D223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A5AC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结题验收信息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9D484"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获得的标志性成果</w:t>
            </w:r>
          </w:p>
        </w:tc>
        <w:tc>
          <w:tcPr>
            <w:tcW w:w="79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AC3B1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</w:tr>
      <w:tr w14:paraId="43F7E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6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0FAC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277CB"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经费</w:t>
            </w:r>
            <w:r>
              <w:rPr>
                <w:rFonts w:hint="eastAsia" w:hAnsi="宋体"/>
                <w:szCs w:val="21"/>
              </w:rPr>
              <w:t>决</w:t>
            </w:r>
            <w:r>
              <w:rPr>
                <w:rFonts w:hAnsi="宋体"/>
                <w:szCs w:val="21"/>
              </w:rPr>
              <w:t>算情况</w:t>
            </w:r>
          </w:p>
        </w:tc>
        <w:tc>
          <w:tcPr>
            <w:tcW w:w="79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BA811C">
            <w:pPr>
              <w:jc w:val="center"/>
              <w:rPr>
                <w:szCs w:val="21"/>
              </w:rPr>
            </w:pPr>
          </w:p>
        </w:tc>
      </w:tr>
      <w:tr w14:paraId="1B5B9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925E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F1FF4"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验收时间</w:t>
            </w:r>
          </w:p>
        </w:tc>
        <w:tc>
          <w:tcPr>
            <w:tcW w:w="2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986BD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8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2FC3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验收组织单位</w:t>
            </w:r>
          </w:p>
        </w:tc>
        <w:tc>
          <w:tcPr>
            <w:tcW w:w="38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2B80C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6EB26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AE53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91574"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验收组成员</w:t>
            </w:r>
          </w:p>
        </w:tc>
        <w:tc>
          <w:tcPr>
            <w:tcW w:w="79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8B0C6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424B1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C517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DCCF2">
            <w:pPr>
              <w:spacing w:line="240" w:lineRule="exact"/>
              <w:ind w:right="-80" w:rightChars="-38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结题验收意见</w:t>
            </w:r>
          </w:p>
        </w:tc>
        <w:tc>
          <w:tcPr>
            <w:tcW w:w="79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C38C8"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 w14:paraId="555D01D4">
      <w:pPr>
        <w:spacing w:line="580" w:lineRule="exact"/>
        <w:rPr>
          <w:rFonts w:hint="eastAsia"/>
        </w:rPr>
      </w:pPr>
    </w:p>
    <w:p w14:paraId="3B67A203">
      <w:pPr>
        <w:rPr>
          <w:rFonts w:hint="eastAsia"/>
        </w:rPr>
      </w:pPr>
    </w:p>
    <w:sectPr>
      <w:footerReference r:id="rId3" w:type="default"/>
      <w:footerReference r:id="rId4" w:type="even"/>
      <w:pgSz w:w="11907" w:h="16840"/>
      <w:pgMar w:top="1023" w:right="1531" w:bottom="1337" w:left="1531" w:header="680" w:footer="680" w:gutter="0"/>
      <w:pgNumType w:fmt="numberInDash"/>
      <w:cols w:space="720" w:num="1"/>
      <w:docGrid w:linePitch="285" w:charSpace="393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C7859DF6-BFA0-4326-B394-E6EB199212FE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C9129162-B978-4386-B4F7-2456CA89A77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E79D3">
    <w:pPr>
      <w:pStyle w:val="11"/>
      <w:framePr w:wrap="around" w:vAnchor="text" w:hAnchor="margin" w:xAlign="right" w:y="1"/>
      <w:ind w:right="360" w:firstLine="180" w:firstLineChars="100"/>
    </w:pPr>
    <w:r>
      <w:rPr>
        <w:rStyle w:val="16"/>
        <w:szCs w:val="21"/>
      </w:rPr>
      <w:t xml:space="preserve"> </w:t>
    </w:r>
    <w:r>
      <w:rPr>
        <w:szCs w:val="21"/>
      </w:rPr>
      <w:fldChar w:fldCharType="begin"/>
    </w:r>
    <w:r>
      <w:rPr>
        <w:rStyle w:val="16"/>
        <w:szCs w:val="21"/>
      </w:rPr>
      <w:instrText xml:space="preserve"> PAGE </w:instrText>
    </w:r>
    <w:r>
      <w:rPr>
        <w:szCs w:val="21"/>
      </w:rPr>
      <w:fldChar w:fldCharType="separate"/>
    </w:r>
    <w:r>
      <w:rPr>
        <w:rStyle w:val="16"/>
        <w:szCs w:val="21"/>
        <w:lang w:val="en-US" w:eastAsia="zh-CN"/>
      </w:rPr>
      <w:t>- 1 -</w:t>
    </w:r>
    <w:r>
      <w:rPr>
        <w:szCs w:val="21"/>
      </w:rPr>
      <w:fldChar w:fldCharType="end"/>
    </w:r>
    <w:r>
      <w:rPr>
        <w:rStyle w:val="16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C11BB">
    <w:pPr>
      <w:pStyle w:val="11"/>
      <w:framePr w:wrap="around" w:vAnchor="text" w:hAnchor="margin" w:xAlign="right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separate"/>
    </w:r>
    <w:r>
      <w:rPr>
        <w:rStyle w:val="16"/>
        <w:lang w:val="en-US" w:eastAsia="zh-CN"/>
      </w:rPr>
      <w:t>4</w:t>
    </w:r>
    <w:r>
      <w:fldChar w:fldCharType="end"/>
    </w:r>
  </w:p>
  <w:p w14:paraId="0BE12C79">
    <w:pPr>
      <w:pStyle w:val="11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ED4278"/>
    <w:multiLevelType w:val="multilevel"/>
    <w:tmpl w:val="6EED4278"/>
    <w:lvl w:ilvl="0" w:tentative="0">
      <w:start w:val="1"/>
      <w:numFmt w:val="decimal"/>
      <w:pStyle w:val="2"/>
      <w:suff w:val="nothing"/>
      <w:lvlText w:val="第%1章"/>
      <w:lvlJc w:val="left"/>
      <w:pPr>
        <w:ind w:left="0" w:firstLine="0"/>
      </w:pPr>
      <w:rPr>
        <w:rFonts w:hint="default" w:ascii="Times New Roman" w:hAnsi="Times New Roman" w:eastAsia="黑体"/>
        <w:b/>
        <w:i w:val="0"/>
        <w:spacing w:val="35"/>
        <w:w w:val="100"/>
        <w:kern w:val="44"/>
        <w:position w:val="0"/>
        <w:sz w:val="28"/>
        <w14:numSpacing w14:val="tabular"/>
      </w:rPr>
    </w:lvl>
    <w:lvl w:ilvl="1" w:tentative="0">
      <w:start w:val="3"/>
      <w:numFmt w:val="decimal"/>
      <w:lvlRestart w:val="0"/>
      <w:pStyle w:val="3"/>
      <w:suff w:val="nothing"/>
      <w:lvlText w:val="%1.%2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kern w:val="24"/>
        <w:sz w:val="24"/>
      </w:rPr>
    </w:lvl>
    <w:lvl w:ilvl="2" w:tentative="0">
      <w:start w:val="1"/>
      <w:numFmt w:val="decimal"/>
      <w:pStyle w:val="4"/>
      <w:suff w:val="nothing"/>
      <w:lvlText w:val="%1.%2.%3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4"/>
      </w:rPr>
    </w:lvl>
    <w:lvl w:ilvl="3" w:tentative="0">
      <w:start w:val="1"/>
      <w:numFmt w:val="decimal"/>
      <w:pStyle w:val="5"/>
      <w:suff w:val="nothing"/>
      <w:lvlText w:val="%1.%2.%3.%4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4"/>
      </w:rPr>
    </w:lvl>
    <w:lvl w:ilvl="4" w:tentative="0">
      <w:start w:val="1"/>
      <w:numFmt w:val="decimal"/>
      <w:suff w:val="nothing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E4D"/>
    <w:rsid w:val="00001FCE"/>
    <w:rsid w:val="00124651"/>
    <w:rsid w:val="001604CC"/>
    <w:rsid w:val="007B1D6D"/>
    <w:rsid w:val="00A03500"/>
    <w:rsid w:val="00C445EB"/>
    <w:rsid w:val="00CA6E4D"/>
    <w:rsid w:val="00CF340C"/>
    <w:rsid w:val="00DA6C40"/>
    <w:rsid w:val="00F67ED4"/>
    <w:rsid w:val="24E75573"/>
    <w:rsid w:val="585D1C15"/>
    <w:rsid w:val="6FA9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numPr>
        <w:ilvl w:val="0"/>
        <w:numId w:val="1"/>
      </w:numPr>
      <w:spacing w:before="480" w:after="360"/>
      <w:jc w:val="center"/>
      <w:outlineLvl w:val="0"/>
    </w:pPr>
    <w:rPr>
      <w:rFonts w:eastAsia="黑体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20"/>
    <w:autoRedefine/>
    <w:unhideWhenUsed/>
    <w:qFormat/>
    <w:uiPriority w:val="9"/>
    <w:pPr>
      <w:keepNext/>
      <w:keepLines/>
      <w:numPr>
        <w:ilvl w:val="1"/>
        <w:numId w:val="1"/>
      </w:numPr>
      <w:spacing w:before="480" w:after="120"/>
      <w:jc w:val="left"/>
      <w:outlineLvl w:val="1"/>
    </w:pPr>
    <w:rPr>
      <w:rFonts w:eastAsia="黑体"/>
      <w:bCs/>
      <w:sz w:val="24"/>
      <w:szCs w:val="24"/>
    </w:rPr>
  </w:style>
  <w:style w:type="paragraph" w:styleId="4">
    <w:name w:val="heading 3"/>
    <w:basedOn w:val="1"/>
    <w:next w:val="1"/>
    <w:link w:val="21"/>
    <w:autoRedefine/>
    <w:unhideWhenUsed/>
    <w:qFormat/>
    <w:uiPriority w:val="9"/>
    <w:pPr>
      <w:keepNext/>
      <w:keepLines/>
      <w:numPr>
        <w:ilvl w:val="2"/>
        <w:numId w:val="1"/>
      </w:numPr>
      <w:spacing w:before="240" w:after="120"/>
      <w:jc w:val="left"/>
      <w:outlineLvl w:val="2"/>
    </w:pPr>
    <w:rPr>
      <w:rFonts w:eastAsia="黑体"/>
      <w:sz w:val="24"/>
      <w:szCs w:val="24"/>
    </w:rPr>
  </w:style>
  <w:style w:type="paragraph" w:styleId="5">
    <w:name w:val="heading 4"/>
    <w:basedOn w:val="1"/>
    <w:next w:val="1"/>
    <w:link w:val="22"/>
    <w:autoRedefine/>
    <w:unhideWhenUsed/>
    <w:qFormat/>
    <w:uiPriority w:val="9"/>
    <w:pPr>
      <w:keepNext/>
      <w:keepLines/>
      <w:numPr>
        <w:ilvl w:val="3"/>
        <w:numId w:val="1"/>
      </w:numPr>
      <w:spacing w:before="240" w:after="120"/>
      <w:jc w:val="left"/>
      <w:outlineLvl w:val="3"/>
    </w:pPr>
    <w:rPr>
      <w:rFonts w:eastAsia="黑体"/>
      <w:sz w:val="24"/>
      <w:szCs w:val="24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Cs w:val="22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18"/>
      <w:lang w:val="zh-CN"/>
    </w:rPr>
  </w:style>
  <w:style w:type="paragraph" w:styleId="12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3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6">
    <w:name w:val="page number"/>
    <w:basedOn w:val="15"/>
    <w:qFormat/>
    <w:uiPriority w:val="0"/>
  </w:style>
  <w:style w:type="character" w:customStyle="1" w:styleId="17">
    <w:name w:val="标题 1 字符"/>
    <w:basedOn w:val="15"/>
    <w:link w:val="2"/>
    <w:qFormat/>
    <w:uiPriority w:val="9"/>
    <w:rPr>
      <w:rFonts w:ascii="Times New Roman" w:hAnsi="Times New Roman" w:eastAsia="黑体"/>
      <w:b/>
      <w:bCs/>
      <w:kern w:val="44"/>
      <w:sz w:val="28"/>
      <w:szCs w:val="44"/>
    </w:rPr>
  </w:style>
  <w:style w:type="paragraph" w:customStyle="1" w:styleId="18">
    <w:name w:val="EndNote Bibliography"/>
    <w:basedOn w:val="1"/>
    <w:link w:val="19"/>
    <w:qFormat/>
    <w:uiPriority w:val="0"/>
    <w:pPr>
      <w:widowControl/>
      <w:adjustRightInd w:val="0"/>
      <w:snapToGrid w:val="0"/>
      <w:spacing w:after="200" w:line="360" w:lineRule="auto"/>
    </w:pPr>
    <w:rPr>
      <w:kern w:val="0"/>
      <w:szCs w:val="22"/>
    </w:rPr>
  </w:style>
  <w:style w:type="character" w:customStyle="1" w:styleId="19">
    <w:name w:val="EndNote Bibliography Char"/>
    <w:link w:val="18"/>
    <w:qFormat/>
    <w:uiPriority w:val="0"/>
    <w:rPr>
      <w:rFonts w:ascii="Times New Roman" w:hAnsi="Times New Roman" w:eastAsia="宋体" w:cs="Times New Roman"/>
      <w:kern w:val="0"/>
    </w:rPr>
  </w:style>
  <w:style w:type="character" w:customStyle="1" w:styleId="20">
    <w:name w:val="标题 2 字符"/>
    <w:basedOn w:val="15"/>
    <w:link w:val="3"/>
    <w:qFormat/>
    <w:uiPriority w:val="9"/>
    <w:rPr>
      <w:rFonts w:ascii="Times New Roman" w:hAnsi="Times New Roman" w:eastAsia="黑体" w:cs="Times New Roman"/>
      <w:bCs/>
      <w:sz w:val="24"/>
      <w:szCs w:val="24"/>
    </w:rPr>
  </w:style>
  <w:style w:type="character" w:customStyle="1" w:styleId="21">
    <w:name w:val="标题 3 字符"/>
    <w:basedOn w:val="15"/>
    <w:link w:val="4"/>
    <w:qFormat/>
    <w:uiPriority w:val="9"/>
    <w:rPr>
      <w:rFonts w:ascii="Times New Roman" w:hAnsi="Times New Roman" w:eastAsia="黑体" w:cs="Times New Roman"/>
      <w:sz w:val="24"/>
      <w:szCs w:val="24"/>
    </w:rPr>
  </w:style>
  <w:style w:type="character" w:customStyle="1" w:styleId="22">
    <w:name w:val="标题 4 字符"/>
    <w:basedOn w:val="15"/>
    <w:link w:val="5"/>
    <w:qFormat/>
    <w:uiPriority w:val="9"/>
    <w:rPr>
      <w:rFonts w:ascii="Times New Roman" w:hAnsi="Times New Roman" w:eastAsia="黑体" w:cs="Times New Roman"/>
      <w:sz w:val="24"/>
      <w:szCs w:val="24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5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5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</w:rPr>
  </w:style>
  <w:style w:type="character" w:customStyle="1" w:styleId="33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2F5597" w:themeColor="accent1" w:themeShade="BF"/>
      <w:szCs w:val="22"/>
    </w:rPr>
  </w:style>
  <w:style w:type="character" w:customStyle="1" w:styleId="35">
    <w:name w:val="明显引用 字符"/>
    <w:basedOn w:val="15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脚 字符"/>
    <w:basedOn w:val="15"/>
    <w:link w:val="11"/>
    <w:qFormat/>
    <w:uiPriority w:val="0"/>
    <w:rPr>
      <w:rFonts w:ascii="宋体" w:hAnsi="Times New Roman" w:eastAsia="宋体" w:cs="Times New Roman"/>
      <w:kern w:val="0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742</Words>
  <Characters>799</Characters>
  <Lines>7</Lines>
  <Paragraphs>2</Paragraphs>
  <TotalTime>0</TotalTime>
  <ScaleCrop>false</ScaleCrop>
  <LinksUpToDate>false</LinksUpToDate>
  <CharactersWithSpaces>834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2025-03-14T02:49:00Z</dcterms:created>
  <dc:creator>buxialian</dc:creator>
  <cp:lastModifiedBy>Lei</cp:lastModifiedBy>
  <dcterms:modified xsi:type="dcterms:W3CDTF">2026-04-23T06:32:51Z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eyJoZGlkIjoiNTkwNzhkZDQ0ZjkwYWM1Y2ZlZGYwZjRkNWYzNTZmOGQiLCJ1c2VySWQiOiIyMjkyOTM2ODkifQ==</vt:lpwstr>
  </property>
  <property fmtid="{D5CDD505-2E9C-101B-9397-08002B2CF9AE}" pid="3" name="KSOProductBuildVer">
    <vt:lpwstr>2052-12.1.0.25865</vt:lpwstr>
  </property>
  <property fmtid="{D5CDD505-2E9C-101B-9397-08002B2CF9AE}" pid="4" name="ICV">
    <vt:lpwstr>A46FF98206BE4A6D9AE29A3C719C2491_12</vt:lpwstr>
  </property>
</Properties>
</file>