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center"/>
        <w:rPr>
          <w:rFonts w:eastAsia="方正小标宋简体"/>
          <w:b/>
          <w:bCs/>
          <w:sz w:val="32"/>
          <w:szCs w:val="32"/>
        </w:rPr>
      </w:pPr>
      <w:r>
        <w:rPr>
          <w:rFonts w:ascii="Times New Roman" w:hAnsi="Times New Roman" w:eastAsia="方正小标宋简体" w:cs="Times New Roman"/>
          <w:b/>
          <w:bCs/>
          <w:sz w:val="32"/>
          <w:szCs w:val="32"/>
        </w:rPr>
        <w:t>浙</w:t>
      </w:r>
      <w:r>
        <w:rPr>
          <w:rFonts w:eastAsia="方正小标宋简体"/>
          <w:b/>
          <w:bCs/>
          <w:sz w:val="32"/>
          <w:szCs w:val="32"/>
        </w:rPr>
        <w:t>江省</w:t>
      </w:r>
      <w:r>
        <w:rPr>
          <w:rFonts w:hint="eastAsia" w:eastAsia="方正小标宋简体"/>
          <w:b/>
          <w:bCs/>
          <w:sz w:val="32"/>
          <w:szCs w:val="32"/>
        </w:rPr>
        <w:t>淡水水产研究所科</w:t>
      </w:r>
      <w:r>
        <w:rPr>
          <w:rFonts w:eastAsia="方正小标宋简体"/>
          <w:b/>
          <w:bCs/>
          <w:sz w:val="32"/>
          <w:szCs w:val="32"/>
        </w:rPr>
        <w:t>研经费使用信息公开一览表</w:t>
      </w:r>
    </w:p>
    <w:p>
      <w:pPr>
        <w:spacing w:line="520" w:lineRule="exact"/>
        <w:jc w:val="right"/>
        <w:rPr>
          <w:rFonts w:hint="eastAsia" w:eastAsia="方正小标宋简体"/>
          <w:b/>
          <w:bCs/>
          <w:color w:val="FF0000"/>
          <w:sz w:val="44"/>
          <w:szCs w:val="44"/>
          <w:lang w:val="en-US" w:eastAsia="zh-CN"/>
        </w:rPr>
      </w:pPr>
      <w:r>
        <w:rPr>
          <w:rFonts w:hint="eastAsia" w:eastAsia="方正小标宋简体"/>
          <w:b w:val="0"/>
          <w:bCs w:val="0"/>
          <w:color w:val="FF0000"/>
          <w:sz w:val="22"/>
          <w:szCs w:val="22"/>
          <w:lang w:val="en-US" w:eastAsia="zh-CN"/>
        </w:rPr>
        <w:t>单位：万</w:t>
      </w:r>
      <w:bookmarkStart w:id="1" w:name="_GoBack"/>
      <w:bookmarkEnd w:id="1"/>
      <w:r>
        <w:rPr>
          <w:rFonts w:hint="eastAsia" w:eastAsia="方正小标宋简体"/>
          <w:b w:val="0"/>
          <w:bCs w:val="0"/>
          <w:color w:val="FF0000"/>
          <w:sz w:val="22"/>
          <w:szCs w:val="22"/>
          <w:lang w:val="en-US" w:eastAsia="zh-CN"/>
        </w:rPr>
        <w:t>元</w:t>
      </w:r>
    </w:p>
    <w:p>
      <w:pPr>
        <w:spacing w:line="520" w:lineRule="exact"/>
        <w:rPr>
          <w:rFonts w:hint="default" w:eastAsia="宋体"/>
          <w:bCs/>
          <w:sz w:val="24"/>
          <w:lang w:val="en-US" w:eastAsia="zh-CN"/>
        </w:rPr>
      </w:pPr>
      <w:r>
        <w:rPr>
          <w:bCs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264160</wp:posOffset>
                </wp:positionV>
                <wp:extent cx="1143000" cy="0"/>
                <wp:effectExtent l="0" t="0" r="0" b="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63pt;margin-top:20.8pt;height:0pt;width:90pt;z-index:251659264;mso-width-relative:page;mso-height-relative:page;" filled="f" stroked="t" coordsize="21600,21600" o:gfxdata="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AKVYwa1QAAAAkBAAAPAAAAAAAAAAEAIAAAACIAAABkcnMvZG93bnJldi54bWxQSwECFAAU&#10;AAAACACHTuJAy4isPvQBAADkAwAADgAAAAAAAAABACAAAAAkAQAAZHJzL2Uyb0RvYy54bWxQSwUG&#10;AAAAAAYABgBZAQAAig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bCs/>
          <w:sz w:val="24"/>
        </w:rPr>
        <w:t xml:space="preserve">填表人：     </w:t>
      </w:r>
      <w:r>
        <w:rPr>
          <w:rFonts w:hint="eastAsia"/>
          <w:bCs/>
          <w:sz w:val="24"/>
          <w:lang w:val="en-US" w:eastAsia="zh-CN"/>
        </w:rPr>
        <w:t>郑建波</w:t>
      </w:r>
      <w:r>
        <w:rPr>
          <w:bCs/>
          <w:sz w:val="24"/>
        </w:rPr>
        <w:t xml:space="preserve">    </w:t>
      </w:r>
      <w:r>
        <w:rPr>
          <w:rFonts w:hint="eastAsia"/>
          <w:bCs/>
          <w:sz w:val="24"/>
        </w:rPr>
        <w:t xml:space="preserve">                             </w:t>
      </w:r>
      <w:r>
        <w:rPr>
          <w:bCs/>
          <w:sz w:val="24"/>
        </w:rPr>
        <w:t xml:space="preserve">   填表日期： </w:t>
      </w:r>
      <w:r>
        <w:rPr>
          <w:rFonts w:hint="eastAsia"/>
          <w:bCs/>
          <w:sz w:val="24"/>
          <w:lang w:val="en-US" w:eastAsia="zh-CN"/>
        </w:rPr>
        <w:t>2026.4.27</w:t>
      </w:r>
    </w:p>
    <w:tbl>
      <w:tblPr>
        <w:tblStyle w:val="3"/>
        <w:tblW w:w="100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7"/>
        <w:gridCol w:w="1595"/>
        <w:gridCol w:w="1320"/>
        <w:gridCol w:w="6"/>
        <w:gridCol w:w="899"/>
        <w:gridCol w:w="263"/>
        <w:gridCol w:w="1465"/>
        <w:gridCol w:w="72"/>
        <w:gridCol w:w="1231"/>
        <w:gridCol w:w="1170"/>
        <w:gridCol w:w="14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5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立项</w:t>
            </w:r>
          </w:p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信息</w:t>
            </w:r>
          </w:p>
          <w:p>
            <w:pPr>
              <w:spacing w:line="240" w:lineRule="exact"/>
              <w:jc w:val="center"/>
              <w:rPr>
                <w:szCs w:val="21"/>
              </w:rPr>
            </w:pPr>
          </w:p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项目名称</w:t>
            </w:r>
          </w:p>
        </w:tc>
        <w:tc>
          <w:tcPr>
            <w:tcW w:w="790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基于CRISPR</w:t>
            </w:r>
            <w:r>
              <w:rPr>
                <w:rFonts w:hint="eastAsia"/>
                <w:szCs w:val="21"/>
                <w:lang w:val="en-US" w:eastAsia="zh-CN"/>
              </w:rPr>
              <w:t>/</w:t>
            </w:r>
            <w:r>
              <w:rPr>
                <w:rFonts w:hint="eastAsia"/>
                <w:szCs w:val="21"/>
              </w:rPr>
              <w:t>Cas9基因编辑技术的少肌间刺翘嘴鲌新种质创制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立项部门</w:t>
            </w:r>
          </w:p>
        </w:tc>
        <w:tc>
          <w:tcPr>
            <w:tcW w:w="790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5940"/>
              </w:tabs>
              <w:spacing w:line="240" w:lineRule="exact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浙江省科技厅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实施期限</w:t>
            </w:r>
          </w:p>
        </w:tc>
        <w:tc>
          <w:tcPr>
            <w:tcW w:w="790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2023.1-2025.12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协作单位</w:t>
            </w:r>
          </w:p>
        </w:tc>
        <w:tc>
          <w:tcPr>
            <w:tcW w:w="790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项目负责人及课题组成员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姓名</w:t>
            </w:r>
          </w:p>
        </w:tc>
        <w:tc>
          <w:tcPr>
            <w:tcW w:w="11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42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职称</w:t>
            </w:r>
          </w:p>
        </w:tc>
        <w:tc>
          <w:tcPr>
            <w:tcW w:w="27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工作单位</w:t>
            </w: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承担任务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郑建波</w:t>
            </w:r>
          </w:p>
        </w:tc>
        <w:tc>
          <w:tcPr>
            <w:tcW w:w="11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副研究员</w:t>
            </w:r>
          </w:p>
        </w:tc>
        <w:tc>
          <w:tcPr>
            <w:tcW w:w="27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bookmarkStart w:id="0" w:name="OLE_LINK1"/>
            <w:r>
              <w:rPr>
                <w:rFonts w:hint="eastAsia"/>
                <w:szCs w:val="21"/>
                <w:lang w:val="en-US" w:eastAsia="zh-CN"/>
              </w:rPr>
              <w:t>浙江省淡水水产研究所</w:t>
            </w:r>
            <w:bookmarkEnd w:id="0"/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负责人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刘士力</w:t>
            </w:r>
          </w:p>
        </w:tc>
        <w:tc>
          <w:tcPr>
            <w:tcW w:w="11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助理研究员</w:t>
            </w:r>
          </w:p>
        </w:tc>
        <w:tc>
          <w:tcPr>
            <w:tcW w:w="27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42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浙江省淡水水产研究所</w:t>
            </w: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协助实施基因编辑技术体系构建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刘一诺</w:t>
            </w:r>
          </w:p>
        </w:tc>
        <w:tc>
          <w:tcPr>
            <w:tcW w:w="11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助理研究员</w:t>
            </w:r>
          </w:p>
        </w:tc>
        <w:tc>
          <w:tcPr>
            <w:tcW w:w="27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42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浙江省淡水水产研究所</w:t>
            </w: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肌间刺候选基因的挖掘与功能验证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程顺</w:t>
            </w:r>
          </w:p>
        </w:tc>
        <w:tc>
          <w:tcPr>
            <w:tcW w:w="11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42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助理研究员</w:t>
            </w:r>
          </w:p>
        </w:tc>
        <w:tc>
          <w:tcPr>
            <w:tcW w:w="27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42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浙江省淡水水产研究所</w:t>
            </w: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基因编辑鱼突变检测与新种质创制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陈乐然</w:t>
            </w:r>
          </w:p>
        </w:tc>
        <w:tc>
          <w:tcPr>
            <w:tcW w:w="11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研究生</w:t>
            </w:r>
          </w:p>
        </w:tc>
        <w:tc>
          <w:tcPr>
            <w:tcW w:w="27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42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浙江省淡水水产研究所</w:t>
            </w: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主要负责实验鱼类品系培育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经费总额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10</w:t>
            </w:r>
          </w:p>
        </w:tc>
        <w:tc>
          <w:tcPr>
            <w:tcW w:w="11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其中</w:t>
            </w:r>
          </w:p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拨款</w:t>
            </w:r>
          </w:p>
        </w:tc>
        <w:tc>
          <w:tcPr>
            <w:tcW w:w="1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10</w:t>
            </w:r>
          </w:p>
        </w:tc>
        <w:tc>
          <w:tcPr>
            <w:tcW w:w="13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其他经费</w:t>
            </w:r>
          </w:p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来源及金额</w:t>
            </w: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Ansi="宋体"/>
                <w:szCs w:val="21"/>
              </w:rPr>
              <w:t>经费预算</w:t>
            </w:r>
          </w:p>
        </w:tc>
        <w:tc>
          <w:tcPr>
            <w:tcW w:w="248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  <w:lang w:eastAsia="zh-CN"/>
              </w:rPr>
              <w:t>直接费用</w:t>
            </w:r>
          </w:p>
        </w:tc>
        <w:tc>
          <w:tcPr>
            <w:tcW w:w="1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7.7</w:t>
            </w:r>
          </w:p>
        </w:tc>
        <w:tc>
          <w:tcPr>
            <w:tcW w:w="13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b/>
                <w:bCs/>
                <w:szCs w:val="21"/>
                <w:lang w:eastAsia="zh-CN"/>
              </w:rPr>
              <w:t>间接费用</w:t>
            </w: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8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color w:val="auto"/>
                <w:szCs w:val="21"/>
              </w:rPr>
              <w:t>设备费</w:t>
            </w:r>
          </w:p>
        </w:tc>
        <w:tc>
          <w:tcPr>
            <w:tcW w:w="1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0</w:t>
            </w:r>
          </w:p>
        </w:tc>
        <w:tc>
          <w:tcPr>
            <w:tcW w:w="13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管理费</w:t>
            </w: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8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color w:val="auto"/>
                <w:szCs w:val="21"/>
                <w:lang w:eastAsia="zh-CN"/>
              </w:rPr>
              <w:t>业务费</w:t>
            </w:r>
          </w:p>
        </w:tc>
        <w:tc>
          <w:tcPr>
            <w:tcW w:w="1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7.6</w:t>
            </w:r>
          </w:p>
        </w:tc>
        <w:tc>
          <w:tcPr>
            <w:tcW w:w="13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绩效支出</w:t>
            </w: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8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color w:val="auto"/>
                <w:szCs w:val="21"/>
                <w:lang w:eastAsia="zh-CN"/>
              </w:rPr>
              <w:t>劳务费</w:t>
            </w:r>
          </w:p>
        </w:tc>
        <w:tc>
          <w:tcPr>
            <w:tcW w:w="1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0.1</w:t>
            </w:r>
          </w:p>
        </w:tc>
        <w:tc>
          <w:tcPr>
            <w:tcW w:w="13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51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hAnsi="宋体"/>
                <w:szCs w:val="21"/>
              </w:rPr>
              <w:t>过程</w:t>
            </w:r>
          </w:p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信息</w:t>
            </w: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经费到位情况</w:t>
            </w:r>
          </w:p>
        </w:tc>
        <w:tc>
          <w:tcPr>
            <w:tcW w:w="13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已拨入</w:t>
            </w:r>
          </w:p>
        </w:tc>
        <w:tc>
          <w:tcPr>
            <w:tcW w:w="11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10</w:t>
            </w:r>
          </w:p>
        </w:tc>
        <w:tc>
          <w:tcPr>
            <w:tcW w:w="1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未拨入</w:t>
            </w:r>
          </w:p>
        </w:tc>
        <w:tc>
          <w:tcPr>
            <w:tcW w:w="13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0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hAnsi="宋体"/>
                <w:szCs w:val="21"/>
              </w:rPr>
              <w:t>已</w:t>
            </w:r>
            <w:r>
              <w:rPr>
                <w:rFonts w:hAnsi="宋体"/>
                <w:szCs w:val="21"/>
              </w:rPr>
              <w:t>使用经费总额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firstLine="315" w:firstLineChars="150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9.9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  <w:jc w:val="center"/>
        </w:trPr>
        <w:tc>
          <w:tcPr>
            <w:tcW w:w="51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预算支出情况</w:t>
            </w:r>
          </w:p>
        </w:tc>
        <w:tc>
          <w:tcPr>
            <w:tcW w:w="248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color w:val="auto"/>
                <w:szCs w:val="21"/>
                <w:lang w:eastAsia="zh-CN"/>
              </w:rPr>
            </w:pPr>
            <w:r>
              <w:rPr>
                <w:rFonts w:hint="eastAsia"/>
                <w:b/>
                <w:bCs/>
                <w:color w:val="auto"/>
                <w:szCs w:val="21"/>
                <w:lang w:eastAsia="zh-CN"/>
              </w:rPr>
              <w:t>直接费用</w:t>
            </w:r>
          </w:p>
        </w:tc>
        <w:tc>
          <w:tcPr>
            <w:tcW w:w="1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7.69</w:t>
            </w:r>
          </w:p>
        </w:tc>
        <w:tc>
          <w:tcPr>
            <w:tcW w:w="13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b/>
                <w:bCs/>
                <w:szCs w:val="21"/>
                <w:lang w:eastAsia="zh-CN"/>
              </w:rPr>
              <w:t>间接费用</w:t>
            </w: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1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8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color w:val="auto"/>
                <w:szCs w:val="21"/>
                <w:lang w:eastAsia="zh-CN"/>
              </w:rPr>
            </w:pPr>
            <w:r>
              <w:rPr>
                <w:rFonts w:hAnsi="宋体"/>
                <w:color w:val="auto"/>
                <w:szCs w:val="21"/>
              </w:rPr>
              <w:t>设备费</w:t>
            </w:r>
          </w:p>
        </w:tc>
        <w:tc>
          <w:tcPr>
            <w:tcW w:w="1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0</w:t>
            </w:r>
          </w:p>
        </w:tc>
        <w:tc>
          <w:tcPr>
            <w:tcW w:w="13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管理费</w:t>
            </w: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1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8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color w:val="auto"/>
                <w:szCs w:val="21"/>
                <w:lang w:eastAsia="zh-CN"/>
              </w:rPr>
            </w:pPr>
            <w:r>
              <w:rPr>
                <w:rFonts w:hint="eastAsia"/>
                <w:color w:val="auto"/>
                <w:szCs w:val="21"/>
                <w:lang w:eastAsia="zh-CN"/>
              </w:rPr>
              <w:t>业务费</w:t>
            </w:r>
          </w:p>
        </w:tc>
        <w:tc>
          <w:tcPr>
            <w:tcW w:w="1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7.59</w:t>
            </w:r>
          </w:p>
        </w:tc>
        <w:tc>
          <w:tcPr>
            <w:tcW w:w="13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绩效支出</w:t>
            </w: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1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8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  <w:lang w:eastAsia="zh-CN"/>
              </w:rPr>
              <w:t>劳务费</w:t>
            </w:r>
          </w:p>
        </w:tc>
        <w:tc>
          <w:tcPr>
            <w:tcW w:w="1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0.1</w:t>
            </w:r>
          </w:p>
        </w:tc>
        <w:tc>
          <w:tcPr>
            <w:tcW w:w="13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5" w:hRule="atLeast"/>
          <w:jc w:val="center"/>
        </w:trPr>
        <w:tc>
          <w:tcPr>
            <w:tcW w:w="51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Ansi="宋体"/>
                <w:szCs w:val="21"/>
              </w:rPr>
              <w:t>大额设备和材料名称和价格</w:t>
            </w:r>
          </w:p>
        </w:tc>
        <w:tc>
          <w:tcPr>
            <w:tcW w:w="790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hint="eastAsia" w:eastAsia="宋体"/>
                <w:sz w:val="20"/>
                <w:lang w:val="en-US" w:eastAsia="zh-CN"/>
              </w:rPr>
            </w:pPr>
            <w:r>
              <w:rPr>
                <w:rFonts w:hint="eastAsia"/>
                <w:sz w:val="20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9" w:hRule="atLeast"/>
          <w:jc w:val="center"/>
        </w:trPr>
        <w:tc>
          <w:tcPr>
            <w:tcW w:w="51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Ansi="宋体"/>
                <w:szCs w:val="21"/>
              </w:rPr>
            </w:pPr>
            <w:r>
              <w:rPr>
                <w:rFonts w:hint="eastAsia"/>
                <w:szCs w:val="21"/>
              </w:rPr>
              <w:t>阶段性成果</w:t>
            </w:r>
          </w:p>
        </w:tc>
        <w:tc>
          <w:tcPr>
            <w:tcW w:w="790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确定翘嘴鲌幼鱼骨化模式，鉴定大量与肌间刺关联的候选功能基因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5" w:hRule="atLeast"/>
          <w:jc w:val="center"/>
        </w:trPr>
        <w:tc>
          <w:tcPr>
            <w:tcW w:w="5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结题验收信息</w:t>
            </w: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right="-80" w:rightChars="-38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获得的标志性成果</w:t>
            </w:r>
          </w:p>
        </w:tc>
        <w:tc>
          <w:tcPr>
            <w:tcW w:w="790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center" w:pos="3417"/>
                <w:tab w:val="left" w:pos="4380"/>
              </w:tabs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建立翘嘴鲌基因编辑技术体系，创制少肌间刺翘嘴鲌新种质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6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right="-80" w:rightChars="-38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经费</w:t>
            </w:r>
            <w:r>
              <w:rPr>
                <w:rFonts w:hint="eastAsia" w:hAnsi="宋体"/>
                <w:szCs w:val="21"/>
              </w:rPr>
              <w:t>决</w:t>
            </w:r>
            <w:r>
              <w:rPr>
                <w:rFonts w:hAnsi="宋体"/>
                <w:szCs w:val="21"/>
              </w:rPr>
              <w:t>算情况</w:t>
            </w:r>
          </w:p>
        </w:tc>
        <w:tc>
          <w:tcPr>
            <w:tcW w:w="790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99%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right="-80" w:rightChars="-38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验收时间</w:t>
            </w:r>
          </w:p>
        </w:tc>
        <w:tc>
          <w:tcPr>
            <w:tcW w:w="22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  <w:lang w:val="en-US" w:eastAsia="zh-CN"/>
              </w:rPr>
              <w:t>2025.6</w:t>
            </w:r>
          </w:p>
        </w:tc>
        <w:tc>
          <w:tcPr>
            <w:tcW w:w="18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验收组织单位</w:t>
            </w:r>
          </w:p>
        </w:tc>
        <w:tc>
          <w:tcPr>
            <w:tcW w:w="38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 xml:space="preserve">浙江省自然科学基金委员会办公室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5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right="-80" w:rightChars="-38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验收组成员</w:t>
            </w:r>
          </w:p>
        </w:tc>
        <w:tc>
          <w:tcPr>
            <w:tcW w:w="790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right="-80" w:rightChars="-38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结题验收意见</w:t>
            </w:r>
          </w:p>
        </w:tc>
        <w:tc>
          <w:tcPr>
            <w:tcW w:w="790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验收通过</w:t>
            </w:r>
          </w:p>
        </w:tc>
      </w:tr>
    </w:tbl>
    <w:p>
      <w:pPr>
        <w:spacing w:line="580" w:lineRule="exact"/>
        <w:rPr>
          <w:rFonts w:hint="eastAsia"/>
        </w:rPr>
      </w:pPr>
      <w:r>
        <w:rPr>
          <w:rFonts w:hint="eastAsia"/>
          <w:b/>
          <w:bCs/>
          <w:lang w:eastAsia="zh-CN"/>
        </w:rPr>
        <w:t>注：</w:t>
      </w:r>
      <w:r>
        <w:rPr>
          <w:rFonts w:hint="eastAsia"/>
          <w:lang w:eastAsia="zh-CN"/>
        </w:rPr>
        <w:t>阶段性成果填项目实施过程中取得的成果；经费决算情况请填写经费执行率。</w:t>
      </w:r>
      <w:r>
        <w:rPr>
          <w:rFonts w:hint="eastAsia"/>
        </w:rPr>
        <w:t xml:space="preserve">     </w:t>
      </w:r>
    </w:p>
    <w:p>
      <w:pPr>
        <w:tabs>
          <w:tab w:val="left" w:pos="2488"/>
          <w:tab w:val="left" w:pos="3953"/>
        </w:tabs>
        <w:spacing w:line="240" w:lineRule="exact"/>
        <w:jc w:val="both"/>
        <w:rPr>
          <w:rFonts w:hint="eastAsia" w:hAnsi="宋体"/>
          <w:szCs w:val="21"/>
          <w:lang w:eastAsia="zh-CN"/>
        </w:rPr>
      </w:pPr>
      <w:r>
        <w:rPr>
          <w:rFonts w:hint="eastAsia"/>
          <w:b/>
          <w:bCs/>
          <w:szCs w:val="21"/>
          <w:lang w:eastAsia="zh-CN"/>
        </w:rPr>
        <w:t>业务费</w:t>
      </w:r>
      <w:r>
        <w:rPr>
          <w:rFonts w:hint="eastAsia"/>
          <w:szCs w:val="21"/>
          <w:lang w:eastAsia="zh-CN"/>
        </w:rPr>
        <w:t>是指在</w:t>
      </w:r>
      <w:r>
        <w:rPr>
          <w:rFonts w:hint="eastAsia" w:ascii="Times New Roman" w:hAnsi="宋体" w:eastAsia="宋体" w:cs="Times New Roman"/>
          <w:szCs w:val="21"/>
          <w:lang w:eastAsia="zh-CN"/>
        </w:rPr>
        <w:t>项目实施过程中发生的材料，测试化验加工、燃料动力，出版/文献/信息传播知识产</w:t>
      </w:r>
      <w:r>
        <w:rPr>
          <w:rFonts w:hAnsi="宋体"/>
          <w:szCs w:val="21"/>
        </w:rPr>
        <w:t>权事务</w:t>
      </w:r>
      <w:r>
        <w:rPr>
          <w:rFonts w:hint="eastAsia" w:hAnsi="宋体"/>
          <w:szCs w:val="21"/>
          <w:lang w:eastAsia="zh-CN"/>
        </w:rPr>
        <w:t>，</w:t>
      </w:r>
      <w:r>
        <w:rPr>
          <w:rFonts w:hAnsi="宋体"/>
          <w:szCs w:val="21"/>
        </w:rPr>
        <w:t>会</w:t>
      </w:r>
      <w:r>
        <w:rPr>
          <w:rFonts w:hint="eastAsia" w:hAnsi="宋体"/>
          <w:szCs w:val="21"/>
        </w:rPr>
        <w:t>议</w:t>
      </w:r>
      <w:r>
        <w:rPr>
          <w:rFonts w:hint="eastAsia" w:hAnsi="宋体"/>
          <w:szCs w:val="21"/>
          <w:lang w:eastAsia="zh-CN"/>
        </w:rPr>
        <w:t>、</w:t>
      </w:r>
      <w:r>
        <w:rPr>
          <w:rFonts w:hAnsi="宋体"/>
          <w:szCs w:val="21"/>
        </w:rPr>
        <w:t>差旅</w:t>
      </w:r>
      <w:r>
        <w:rPr>
          <w:rFonts w:hint="eastAsia" w:hAnsi="宋体"/>
          <w:szCs w:val="21"/>
          <w:lang w:eastAsia="zh-CN"/>
        </w:rPr>
        <w:t>、国际</w:t>
      </w:r>
      <w:r>
        <w:rPr>
          <w:rFonts w:hAnsi="宋体"/>
          <w:szCs w:val="21"/>
        </w:rPr>
        <w:t>合作</w:t>
      </w:r>
      <w:r>
        <w:rPr>
          <w:rFonts w:hint="eastAsia" w:hAnsi="宋体"/>
          <w:szCs w:val="21"/>
          <w:lang w:eastAsia="zh-CN"/>
        </w:rPr>
        <w:t>交流以及其他相关支出等费用。</w:t>
      </w:r>
    </w:p>
    <w:p>
      <w:pPr>
        <w:tabs>
          <w:tab w:val="left" w:pos="2488"/>
          <w:tab w:val="left" w:pos="3953"/>
        </w:tabs>
        <w:spacing w:line="240" w:lineRule="exact"/>
        <w:jc w:val="both"/>
        <w:rPr>
          <w:rFonts w:hint="eastAsia" w:ascii="Times New Roman" w:hAnsi="Times New Roman" w:eastAsia="宋体" w:cs="Times New Roman"/>
          <w:b w:val="0"/>
          <w:bCs w:val="0"/>
          <w:szCs w:val="21"/>
          <w:lang w:eastAsia="zh-CN"/>
        </w:rPr>
      </w:pPr>
      <w:r>
        <w:rPr>
          <w:rFonts w:hint="eastAsia" w:ascii="Times New Roman" w:hAnsi="Times New Roman" w:eastAsia="宋体" w:cs="Times New Roman"/>
          <w:b/>
          <w:bCs/>
          <w:szCs w:val="21"/>
          <w:lang w:val="en-US" w:eastAsia="zh-CN"/>
        </w:rPr>
        <w:t>劳务费</w:t>
      </w:r>
      <w:r>
        <w:rPr>
          <w:rFonts w:hint="eastAsia" w:ascii="Times New Roman" w:hAnsi="Times New Roman" w:eastAsia="宋体" w:cs="Times New Roman"/>
          <w:b w:val="0"/>
          <w:bCs w:val="0"/>
          <w:szCs w:val="21"/>
          <w:lang w:val="en-US" w:eastAsia="zh-CN"/>
        </w:rPr>
        <w:t>是指在项目实施过程中支付给参与项目的研究生、博士后、访问学者和项目聘用的研究人员、科研辅助人员等的</w:t>
      </w:r>
      <w:r>
        <w:rPr>
          <w:rFonts w:hint="eastAsia" w:ascii="Times New Roman" w:hAnsi="Times New Roman" w:eastAsia="宋体" w:cs="Times New Roman"/>
          <w:b w:val="0"/>
          <w:bCs w:val="0"/>
          <w:szCs w:val="21"/>
          <w:u w:val="single"/>
          <w:lang w:val="en-US" w:eastAsia="zh-CN"/>
        </w:rPr>
        <w:t>劳务性费用</w:t>
      </w:r>
      <w:r>
        <w:rPr>
          <w:rFonts w:hint="eastAsia" w:ascii="Times New Roman" w:hAnsi="Times New Roman" w:eastAsia="宋体" w:cs="Times New Roman"/>
          <w:b w:val="0"/>
          <w:bCs w:val="0"/>
          <w:szCs w:val="21"/>
          <w:lang w:val="en-US" w:eastAsia="zh-CN"/>
        </w:rPr>
        <w:t>，以及支付给临时聘请的</w:t>
      </w:r>
      <w:r>
        <w:rPr>
          <w:rFonts w:hint="eastAsia" w:ascii="Times New Roman" w:hAnsi="Times New Roman" w:eastAsia="宋体" w:cs="Times New Roman"/>
          <w:b w:val="0"/>
          <w:bCs w:val="0"/>
          <w:szCs w:val="21"/>
          <w:u w:val="single"/>
          <w:lang w:val="en-US" w:eastAsia="zh-CN"/>
        </w:rPr>
        <w:t>咨询专家的费用</w:t>
      </w:r>
      <w:r>
        <w:rPr>
          <w:rFonts w:hint="eastAsia" w:ascii="Times New Roman" w:hAnsi="Times New Roman" w:eastAsia="宋体" w:cs="Times New Roman"/>
          <w:b w:val="0"/>
          <w:bCs w:val="0"/>
          <w:szCs w:val="21"/>
          <w:lang w:val="en-US" w:eastAsia="zh-CN"/>
        </w:rPr>
        <w:t>等。</w:t>
      </w:r>
    </w:p>
    <w:p>
      <w:pPr>
        <w:tabs>
          <w:tab w:val="left" w:pos="2488"/>
          <w:tab w:val="left" w:pos="3953"/>
        </w:tabs>
        <w:spacing w:line="240" w:lineRule="exact"/>
        <w:jc w:val="both"/>
        <w:rPr>
          <w:rFonts w:hint="eastAsia"/>
        </w:rPr>
      </w:pPr>
      <w:r>
        <w:rPr>
          <w:rFonts w:hint="eastAsia"/>
        </w:rPr>
        <w:t xml:space="preserve">                               </w:t>
      </w:r>
    </w:p>
    <w:p/>
    <w:sectPr>
      <w:footerReference r:id="rId3" w:type="default"/>
      <w:footerReference r:id="rId4" w:type="even"/>
      <w:pgSz w:w="11907" w:h="16840"/>
      <w:pgMar w:top="737" w:right="1531" w:bottom="771" w:left="1531" w:header="680" w:footer="680" w:gutter="0"/>
      <w:pgNumType w:fmt="numberInDash"/>
      <w:cols w:space="720" w:num="1"/>
      <w:docGrid w:linePitch="285" w:charSpace="3933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right" w:y="1"/>
      <w:ind w:right="360" w:firstLine="180" w:firstLineChars="100"/>
    </w:pPr>
    <w:r>
      <w:rPr>
        <w:rStyle w:val="5"/>
        <w:szCs w:val="21"/>
      </w:rPr>
      <w:t xml:space="preserve"> </w:t>
    </w:r>
    <w:r>
      <w:rPr>
        <w:szCs w:val="21"/>
      </w:rPr>
      <w:fldChar w:fldCharType="begin"/>
    </w:r>
    <w:r>
      <w:rPr>
        <w:rStyle w:val="5"/>
        <w:szCs w:val="21"/>
      </w:rPr>
      <w:instrText xml:space="preserve"> PAGE </w:instrText>
    </w:r>
    <w:r>
      <w:rPr>
        <w:szCs w:val="21"/>
      </w:rPr>
      <w:fldChar w:fldCharType="separate"/>
    </w:r>
    <w:r>
      <w:rPr>
        <w:rStyle w:val="5"/>
        <w:szCs w:val="21"/>
      </w:rPr>
      <w:t>- 1 -</w:t>
    </w:r>
    <w:r>
      <w:rPr>
        <w:szCs w:val="21"/>
      </w:rPr>
      <w:fldChar w:fldCharType="end"/>
    </w:r>
    <w:r>
      <w:rPr>
        <w:rStyle w:val="5"/>
        <w:szCs w:val="21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right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separate"/>
    </w:r>
    <w:r>
      <w:rPr>
        <w:rStyle w:val="5"/>
      </w:rPr>
      <w:t>4</w:t>
    </w:r>
    <w:r>
      <w:fldChar w:fldCharType="end"/>
    </w:r>
  </w:p>
  <w:p>
    <w:pPr>
      <w:pStyle w:val="2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BF19E6"/>
    <w:rsid w:val="077F3259"/>
    <w:rsid w:val="70BF1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autoSpaceDE w:val="0"/>
      <w:autoSpaceDN w:val="0"/>
      <w:adjustRightInd w:val="0"/>
      <w:snapToGrid w:val="0"/>
      <w:jc w:val="left"/>
    </w:pPr>
    <w:rPr>
      <w:rFonts w:ascii="宋体"/>
      <w:kern w:val="0"/>
      <w:sz w:val="18"/>
      <w:szCs w:val="18"/>
      <w:lang w:val="zh-CN"/>
    </w:rPr>
  </w:style>
  <w:style w:type="character" w:styleId="5">
    <w:name w:val="page number"/>
    <w:basedOn w:val="4"/>
    <w:qFormat/>
    <w:uiPriority w:val="0"/>
  </w:style>
  <w:style w:type="character" w:customStyle="1" w:styleId="6">
    <w:name w:val="fontstyle01"/>
    <w:basedOn w:val="4"/>
    <w:qFormat/>
    <w:uiPriority w:val="0"/>
    <w:rPr>
      <w:rFonts w:ascii="仿宋" w:hAnsi="仿宋" w:eastAsia="仿宋" w:cs="仿宋"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Office_11.8.2.10321_F1E327BC-269C-435d-A152-05C5408002CA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2026-04-27T01:06:00Z</dcterms:created>
  <dc:creator>郑建波</dc:creator>
  <cp:lastModifiedBy>辛建美</cp:lastModifiedBy>
  <dcterms:modified xsi:type="dcterms:W3CDTF">2026-04-27T08:12:24Z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2052-11.8.2.10321</vt:lpwstr>
  </property>
</Properties>
</file>